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1D" w:rsidRPr="0010471D" w:rsidRDefault="0010471D" w:rsidP="0010471D">
      <w:pPr>
        <w:shd w:val="clear" w:color="auto" w:fill="FFFFFF"/>
        <w:spacing w:after="265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</w:rPr>
      </w:pPr>
      <w:r w:rsidRPr="0010471D">
        <w:rPr>
          <w:rFonts w:ascii="Arial" w:eastAsia="Times New Roman" w:hAnsi="Arial" w:cs="Arial"/>
          <w:b/>
          <w:bCs/>
          <w:color w:val="626262"/>
          <w:sz w:val="36"/>
          <w:szCs w:val="36"/>
        </w:rPr>
        <w:t>Сила и красота - сложный дизайн и мощный звук</w:t>
      </w:r>
    </w:p>
    <w:p w:rsidR="0010471D" w:rsidRPr="0010471D" w:rsidRDefault="0010471D" w:rsidP="0010471D">
      <w:pPr>
        <w:shd w:val="clear" w:color="auto" w:fill="FFFFFF"/>
        <w:spacing w:after="149" w:line="275" w:lineRule="atLeast"/>
        <w:rPr>
          <w:rFonts w:ascii="Arial" w:eastAsia="Times New Roman" w:hAnsi="Arial" w:cs="Arial"/>
          <w:color w:val="4A4A4A"/>
          <w:sz w:val="21"/>
          <w:szCs w:val="21"/>
        </w:rPr>
      </w:pPr>
      <w:r w:rsidRPr="0010471D">
        <w:rPr>
          <w:rFonts w:ascii="Arial" w:eastAsia="Times New Roman" w:hAnsi="Arial" w:cs="Arial"/>
          <w:color w:val="4A4A4A"/>
          <w:sz w:val="21"/>
          <w:szCs w:val="21"/>
        </w:rPr>
        <w:t>При разработке MSR400 элегантности дизайна и мощности звука уделялось особое внимание. В результате появилась система, сочетающая изысканный внешний вид с благородством звучания, которая может украсить любое шоу или концерт с живым звуком.</w:t>
      </w:r>
    </w:p>
    <w:p w:rsidR="0010471D" w:rsidRPr="0010471D" w:rsidRDefault="0010471D" w:rsidP="0010471D">
      <w:pPr>
        <w:shd w:val="clear" w:color="auto" w:fill="FFFFFF"/>
        <w:spacing w:after="265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</w:rPr>
      </w:pPr>
      <w:r w:rsidRPr="0010471D">
        <w:rPr>
          <w:rFonts w:ascii="Arial" w:eastAsia="Times New Roman" w:hAnsi="Arial" w:cs="Arial"/>
          <w:b/>
          <w:bCs/>
          <w:color w:val="626262"/>
          <w:sz w:val="36"/>
          <w:szCs w:val="36"/>
        </w:rPr>
        <w:t>400 Вт невероятной двойной мощи</w:t>
      </w:r>
    </w:p>
    <w:p w:rsidR="0010471D" w:rsidRPr="0010471D" w:rsidRDefault="0010471D" w:rsidP="0010471D">
      <w:pPr>
        <w:shd w:val="clear" w:color="auto" w:fill="FFFFFF"/>
        <w:spacing w:after="149" w:line="275" w:lineRule="atLeast"/>
        <w:rPr>
          <w:rFonts w:ascii="Arial" w:eastAsia="Times New Roman" w:hAnsi="Arial" w:cs="Arial"/>
          <w:color w:val="4A4A4A"/>
          <w:sz w:val="21"/>
          <w:szCs w:val="21"/>
        </w:rPr>
      </w:pPr>
      <w:r w:rsidRPr="0010471D">
        <w:rPr>
          <w:rFonts w:ascii="Arial" w:eastAsia="Times New Roman" w:hAnsi="Arial" w:cs="Arial"/>
          <w:color w:val="4A4A4A"/>
          <w:sz w:val="21"/>
          <w:szCs w:val="21"/>
        </w:rPr>
        <w:t>В колонках MSR400 используется 2-полосная система с двумя усилителями, каждый из которых отвечает за Н</w:t>
      </w:r>
      <w:proofErr w:type="gramStart"/>
      <w:r w:rsidRPr="0010471D">
        <w:rPr>
          <w:rFonts w:ascii="Arial" w:eastAsia="Times New Roman" w:hAnsi="Arial" w:cs="Arial"/>
          <w:color w:val="4A4A4A"/>
          <w:sz w:val="21"/>
          <w:szCs w:val="21"/>
        </w:rPr>
        <w:t>Ч-</w:t>
      </w:r>
      <w:proofErr w:type="gramEnd"/>
      <w:r w:rsidRPr="0010471D">
        <w:rPr>
          <w:rFonts w:ascii="Arial" w:eastAsia="Times New Roman" w:hAnsi="Arial" w:cs="Arial"/>
          <w:color w:val="4A4A4A"/>
          <w:sz w:val="21"/>
          <w:szCs w:val="21"/>
        </w:rPr>
        <w:t xml:space="preserve"> и </w:t>
      </w:r>
      <w:proofErr w:type="spellStart"/>
      <w:r w:rsidRPr="0010471D">
        <w:rPr>
          <w:rFonts w:ascii="Arial" w:eastAsia="Times New Roman" w:hAnsi="Arial" w:cs="Arial"/>
          <w:color w:val="4A4A4A"/>
          <w:sz w:val="21"/>
          <w:szCs w:val="21"/>
        </w:rPr>
        <w:t>ВЧ-динамик</w:t>
      </w:r>
      <w:proofErr w:type="spellEnd"/>
      <w:r w:rsidRPr="0010471D">
        <w:rPr>
          <w:rFonts w:ascii="Arial" w:eastAsia="Times New Roman" w:hAnsi="Arial" w:cs="Arial"/>
          <w:color w:val="4A4A4A"/>
          <w:sz w:val="21"/>
          <w:szCs w:val="21"/>
        </w:rPr>
        <w:t xml:space="preserve"> соответственно. 12-дюймовый конический </w:t>
      </w:r>
      <w:proofErr w:type="spellStart"/>
      <w:r w:rsidRPr="0010471D">
        <w:rPr>
          <w:rFonts w:ascii="Arial" w:eastAsia="Times New Roman" w:hAnsi="Arial" w:cs="Arial"/>
          <w:color w:val="4A4A4A"/>
          <w:sz w:val="21"/>
          <w:szCs w:val="21"/>
        </w:rPr>
        <w:t>НЧ-динамик</w:t>
      </w:r>
      <w:proofErr w:type="spellEnd"/>
      <w:r w:rsidRPr="0010471D">
        <w:rPr>
          <w:rFonts w:ascii="Arial" w:eastAsia="Times New Roman" w:hAnsi="Arial" w:cs="Arial"/>
          <w:color w:val="4A4A4A"/>
          <w:sz w:val="21"/>
          <w:szCs w:val="21"/>
        </w:rPr>
        <w:t xml:space="preserve"> и 1,75-дюймовый рупорный </w:t>
      </w:r>
      <w:proofErr w:type="spellStart"/>
      <w:r w:rsidRPr="0010471D">
        <w:rPr>
          <w:rFonts w:ascii="Arial" w:eastAsia="Times New Roman" w:hAnsi="Arial" w:cs="Arial"/>
          <w:color w:val="4A4A4A"/>
          <w:sz w:val="21"/>
          <w:szCs w:val="21"/>
        </w:rPr>
        <w:t>ВЧ-динамик</w:t>
      </w:r>
      <w:proofErr w:type="spellEnd"/>
      <w:r w:rsidRPr="0010471D">
        <w:rPr>
          <w:rFonts w:ascii="Arial" w:eastAsia="Times New Roman" w:hAnsi="Arial" w:cs="Arial"/>
          <w:color w:val="4A4A4A"/>
          <w:sz w:val="21"/>
          <w:szCs w:val="21"/>
        </w:rPr>
        <w:t xml:space="preserve"> обеспечивают общую мощность в 400 Вт (НЧ: 300 Вт, ВЧ: пиковая 100 Вт и длительная мощность 300 Вт).</w:t>
      </w:r>
    </w:p>
    <w:p w:rsidR="0010471D" w:rsidRPr="0010471D" w:rsidRDefault="0010471D" w:rsidP="0010471D">
      <w:pPr>
        <w:shd w:val="clear" w:color="auto" w:fill="FFFFFF"/>
        <w:spacing w:after="265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</w:rPr>
      </w:pPr>
      <w:r w:rsidRPr="0010471D">
        <w:rPr>
          <w:rFonts w:ascii="Arial" w:eastAsia="Times New Roman" w:hAnsi="Arial" w:cs="Arial"/>
          <w:b/>
          <w:bCs/>
          <w:color w:val="626262"/>
          <w:sz w:val="36"/>
          <w:szCs w:val="36"/>
        </w:rPr>
        <w:t>Входы для самых разных источников</w:t>
      </w:r>
    </w:p>
    <w:p w:rsidR="0010471D" w:rsidRPr="0010471D" w:rsidRDefault="0010471D" w:rsidP="0010471D">
      <w:pPr>
        <w:shd w:val="clear" w:color="auto" w:fill="FFFFFF"/>
        <w:spacing w:after="149" w:line="275" w:lineRule="atLeast"/>
        <w:rPr>
          <w:rFonts w:ascii="Arial" w:eastAsia="Times New Roman" w:hAnsi="Arial" w:cs="Arial"/>
          <w:color w:val="4A4A4A"/>
          <w:sz w:val="21"/>
          <w:szCs w:val="21"/>
        </w:rPr>
      </w:pPr>
      <w:r w:rsidRPr="0010471D">
        <w:rPr>
          <w:rFonts w:ascii="Arial" w:eastAsia="Times New Roman" w:hAnsi="Arial" w:cs="Arial"/>
          <w:color w:val="4A4A4A"/>
          <w:sz w:val="21"/>
          <w:szCs w:val="21"/>
        </w:rPr>
        <w:t xml:space="preserve">В колонках MSR400 используются три входных разъема: XLR-3-31, XLR-3-32 и </w:t>
      </w:r>
      <w:proofErr w:type="spellStart"/>
      <w:r w:rsidRPr="0010471D">
        <w:rPr>
          <w:rFonts w:ascii="Arial" w:eastAsia="Times New Roman" w:hAnsi="Arial" w:cs="Arial"/>
          <w:color w:val="4A4A4A"/>
          <w:sz w:val="21"/>
          <w:szCs w:val="21"/>
        </w:rPr>
        <w:t>стереоразъемы</w:t>
      </w:r>
      <w:proofErr w:type="spellEnd"/>
      <w:r w:rsidRPr="0010471D">
        <w:rPr>
          <w:rFonts w:ascii="Arial" w:eastAsia="Times New Roman" w:hAnsi="Arial" w:cs="Arial"/>
          <w:color w:val="4A4A4A"/>
          <w:sz w:val="21"/>
          <w:szCs w:val="21"/>
        </w:rPr>
        <w:t>. Все входы сбалансированы и подключены параллельно. Диапазон входного уровня - от -36 дБ до +4 дБ, что позволяет консоли MSR400 принимать выходные сигналы от микшера и других устройств, таких как микрофоны, синтезаторы и другие электронные музыкальные инструменты. В секции управления расположены регуляторы уровня и 2-полосный эквалайзер, поэтому можно оптимально настроить параметры системы в соответствии с типом источника.</w:t>
      </w:r>
    </w:p>
    <w:p w:rsidR="0010471D" w:rsidRPr="0010471D" w:rsidRDefault="0010471D" w:rsidP="0010471D">
      <w:pPr>
        <w:shd w:val="clear" w:color="auto" w:fill="FFFFFF"/>
        <w:spacing w:after="265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</w:rPr>
      </w:pPr>
      <w:r w:rsidRPr="0010471D">
        <w:rPr>
          <w:rFonts w:ascii="Arial" w:eastAsia="Times New Roman" w:hAnsi="Arial" w:cs="Arial"/>
          <w:b/>
          <w:bCs/>
          <w:color w:val="626262"/>
          <w:sz w:val="36"/>
          <w:szCs w:val="36"/>
        </w:rPr>
        <w:t>Множество вариантов крепления</w:t>
      </w:r>
    </w:p>
    <w:p w:rsidR="0010471D" w:rsidRPr="0010471D" w:rsidRDefault="0010471D" w:rsidP="0010471D">
      <w:pPr>
        <w:shd w:val="clear" w:color="auto" w:fill="FFFFFF"/>
        <w:spacing w:after="149" w:line="275" w:lineRule="atLeast"/>
        <w:rPr>
          <w:rFonts w:ascii="Arial" w:eastAsia="Times New Roman" w:hAnsi="Arial" w:cs="Arial"/>
          <w:color w:val="4A4A4A"/>
          <w:sz w:val="21"/>
          <w:szCs w:val="21"/>
        </w:rPr>
      </w:pPr>
      <w:r w:rsidRPr="0010471D">
        <w:rPr>
          <w:rFonts w:ascii="Arial" w:eastAsia="Times New Roman" w:hAnsi="Arial" w:cs="Arial"/>
          <w:color w:val="4A4A4A"/>
          <w:sz w:val="21"/>
          <w:szCs w:val="21"/>
        </w:rPr>
        <w:t>Активные колонки MSR400 можно крепить и размещать самыми различными способами. Ее можно поставить вертикально на полу и использовать как монитор или закрепить на стойке для колонок, чтобы улучшить слышимость. На верхней стороне колонки размещены 8 мм отверстия с резьбой, который можно использовать для крепления на стене и потолке.</w:t>
      </w:r>
    </w:p>
    <w:p w:rsidR="0010471D" w:rsidRPr="0010471D" w:rsidRDefault="0010471D" w:rsidP="0010471D">
      <w:pPr>
        <w:shd w:val="clear" w:color="auto" w:fill="FFFFFF"/>
        <w:spacing w:after="265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</w:rPr>
      </w:pPr>
      <w:r w:rsidRPr="0010471D">
        <w:rPr>
          <w:rFonts w:ascii="Arial" w:eastAsia="Times New Roman" w:hAnsi="Arial" w:cs="Arial"/>
          <w:b/>
          <w:bCs/>
          <w:color w:val="626262"/>
          <w:sz w:val="36"/>
          <w:szCs w:val="36"/>
        </w:rPr>
        <w:t>Индикатор пика сигнала для визуального мониторинга уровня</w:t>
      </w:r>
    </w:p>
    <w:p w:rsidR="0010471D" w:rsidRPr="0010471D" w:rsidRDefault="0010471D" w:rsidP="0010471D">
      <w:pPr>
        <w:shd w:val="clear" w:color="auto" w:fill="FFFFFF"/>
        <w:spacing w:after="149" w:line="275" w:lineRule="atLeast"/>
        <w:rPr>
          <w:rFonts w:ascii="Arial" w:eastAsia="Times New Roman" w:hAnsi="Arial" w:cs="Arial"/>
          <w:color w:val="4A4A4A"/>
          <w:sz w:val="21"/>
          <w:szCs w:val="21"/>
        </w:rPr>
      </w:pPr>
      <w:r w:rsidRPr="0010471D">
        <w:rPr>
          <w:rFonts w:ascii="Arial" w:eastAsia="Times New Roman" w:hAnsi="Arial" w:cs="Arial"/>
          <w:color w:val="4A4A4A"/>
          <w:sz w:val="21"/>
          <w:szCs w:val="21"/>
        </w:rPr>
        <w:t>Помимо зеленого индикатора, который загорается при включении питания, в колонках используется пиковый индикатор, который загорается красным цветом при возникновении перегруза. Это позволяет визуально следить за перегрузом на входе и своевременно изменять входной уровень.</w:t>
      </w:r>
    </w:p>
    <w:p w:rsidR="00F52542" w:rsidRDefault="00F52542"/>
    <w:sectPr w:rsidR="00F5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471D"/>
    <w:rsid w:val="0010471D"/>
    <w:rsid w:val="00F5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7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DNS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2015-02-07T11:21:00Z</dcterms:created>
  <dcterms:modified xsi:type="dcterms:W3CDTF">2015-02-07T11:22:00Z</dcterms:modified>
</cp:coreProperties>
</file>