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4B" w:rsidRPr="00097D4B" w:rsidRDefault="00097D4B" w:rsidP="00097D4B">
      <w:pPr>
        <w:shd w:val="clear" w:color="auto" w:fill="FFFFFF"/>
        <w:spacing w:after="240" w:line="397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097D4B">
        <w:rPr>
          <w:rFonts w:ascii="Arial" w:eastAsia="Times New Roman" w:hAnsi="Arial" w:cs="Arial"/>
          <w:b/>
          <w:bCs/>
          <w:color w:val="000000"/>
          <w:sz w:val="33"/>
          <w:szCs w:val="33"/>
        </w:rPr>
        <w:t>Технические характеристики: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Выходная мощность (музыкальная) 400Вт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Частотный диапазон 40Гц-18кГц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Макс. SPL 122dB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Частота раздела кроссовера 2.5кГц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Усилитель ВЧ 100Вт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Усилитель НЧ 300Вт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НЧ динамик 15" литая ходовая часть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ВЧ драйвер 1.75" диафрагма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Номанальная дисперсия (горизонтальная) 90 градусов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Номинальная дисперсия (вертикальная) 60 градусов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Входные/выходные разъемы Балансный XLR «мама», XLR «папа» (линк)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Требования к питанию 230В ± 10% ~50/60Гц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Селектор напряжения 115В ± 10% ~50/60Гц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Эквалайзер ВЧ (±15dB)12.5Гц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Эквалайзер СЧ(±12dB)2.5Гц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Эквалайзер НЧ(±15dB)60Гц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Габариты: Ширина 365мм Высота 720мм Глубина 495мм</w:t>
      </w:r>
    </w:p>
    <w:p w:rsidR="00097D4B" w:rsidRPr="00097D4B" w:rsidRDefault="00097D4B" w:rsidP="00097D4B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097D4B">
        <w:rPr>
          <w:rFonts w:ascii="Arial" w:eastAsia="Times New Roman" w:hAnsi="Arial" w:cs="Arial"/>
          <w:color w:val="000000"/>
          <w:sz w:val="23"/>
          <w:szCs w:val="23"/>
        </w:rPr>
        <w:t>Вес: Нетто 25 кг, Брутто 30 кг</w:t>
      </w:r>
    </w:p>
    <w:p w:rsidR="0018547C" w:rsidRDefault="0018547C"/>
    <w:sectPr w:rsidR="0018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2D26"/>
    <w:multiLevelType w:val="multilevel"/>
    <w:tmpl w:val="52A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097D4B"/>
    <w:rsid w:val="00097D4B"/>
    <w:rsid w:val="0018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D4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DNS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2015-02-07T10:40:00Z</dcterms:created>
  <dcterms:modified xsi:type="dcterms:W3CDTF">2015-02-07T10:40:00Z</dcterms:modified>
</cp:coreProperties>
</file>